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none"/>
          <w:lang w:val="en-US" w:eastAsia="zh-CN"/>
        </w:rPr>
      </w:pPr>
      <w:bookmarkStart w:id="0" w:name="_GoBack"/>
      <w:r>
        <w:rPr>
          <w:rFonts w:hint="eastAsia" w:eastAsia="方正小标宋简体"/>
          <w:sz w:val="44"/>
          <w:szCs w:val="44"/>
          <w:u w:val="none"/>
          <w:lang w:val="en-US" w:eastAsia="zh-CN"/>
        </w:rPr>
        <w:t>梨树县</w:t>
      </w:r>
      <w:r>
        <w:rPr>
          <w:rFonts w:hint="eastAsia" w:eastAsia="方正小标宋简体"/>
          <w:sz w:val="44"/>
          <w:szCs w:val="44"/>
          <w:u w:val="none"/>
        </w:rPr>
        <w:t>梨树镇预防保健</w:t>
      </w:r>
      <w:r>
        <w:rPr>
          <w:rFonts w:hint="eastAsia" w:eastAsia="方正小标宋简体"/>
          <w:sz w:val="44"/>
          <w:szCs w:val="44"/>
          <w:u w:val="none"/>
          <w:lang w:val="en-US" w:eastAsia="zh-CN"/>
        </w:rPr>
        <w:t>药品监督站</w:t>
      </w:r>
    </w:p>
    <w:bookmarkEnd w:id="0"/>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1</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r>
        <w:tab/>
      </w:r>
      <w:r>
        <w:tab/>
      </w:r>
      <w:r>
        <w:tab/>
      </w:r>
      <w:r>
        <w:tab/>
      </w:r>
      <w:r>
        <w:tab/>
      </w:r>
      <w:r>
        <w:tab/>
      </w:r>
    </w:p>
    <w:p>
      <w:pPr>
        <w:jc w:val="left"/>
      </w:pPr>
    </w:p>
    <w:p>
      <w:pPr>
        <w:jc w:val="left"/>
      </w:pPr>
    </w:p>
    <w:p>
      <w:pPr>
        <w:jc w:val="left"/>
      </w:pPr>
    </w:p>
    <w:p>
      <w:pPr>
        <w:jc w:val="center"/>
        <w:rPr>
          <w:rFonts w:eastAsia="华文细黑"/>
        </w:rPr>
      </w:pPr>
      <w:r>
        <w:rPr>
          <w:rFonts w:eastAsia="华文细黑"/>
        </w:rPr>
        <w:t>二〇二</w:t>
      </w:r>
      <w:r>
        <w:rPr>
          <w:rFonts w:hint="eastAsia" w:eastAsia="华文细黑"/>
          <w:lang w:val="en-US" w:eastAsia="zh-CN"/>
        </w:rPr>
        <w:t>一</w:t>
      </w:r>
      <w:r>
        <w:rPr>
          <w:rFonts w:eastAsia="华文细黑"/>
        </w:rPr>
        <w:t>年</w:t>
      </w: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pStyle w:val="82"/>
        <w:numPr>
          <w:ilvl w:val="0"/>
          <w:numId w:val="1"/>
        </w:numPr>
        <w:ind w:left="1350" w:leftChars="0" w:firstLineChars="0"/>
        <w:jc w:val="left"/>
        <w:rPr>
          <w:sz w:val="32"/>
          <w:szCs w:val="32"/>
        </w:rPr>
      </w:pPr>
      <w:r>
        <w:rPr>
          <w:rFonts w:hint="eastAsia"/>
          <w:sz w:val="32"/>
          <w:szCs w:val="32"/>
        </w:rPr>
        <w:t>收支预算表</w:t>
      </w:r>
    </w:p>
    <w:p>
      <w:pPr>
        <w:pStyle w:val="82"/>
        <w:numPr>
          <w:ilvl w:val="0"/>
          <w:numId w:val="1"/>
        </w:numPr>
        <w:ind w:left="1350" w:leftChars="0" w:firstLineChars="0"/>
        <w:jc w:val="left"/>
        <w:rPr>
          <w:sz w:val="32"/>
          <w:szCs w:val="32"/>
        </w:rPr>
      </w:pPr>
      <w:r>
        <w:rPr>
          <w:rFonts w:hint="eastAsia"/>
          <w:sz w:val="32"/>
          <w:szCs w:val="32"/>
        </w:rPr>
        <w:t>收入预算表</w:t>
      </w:r>
    </w:p>
    <w:p>
      <w:pPr>
        <w:pStyle w:val="82"/>
        <w:numPr>
          <w:ilvl w:val="0"/>
          <w:numId w:val="1"/>
        </w:numPr>
        <w:ind w:left="1350" w:leftChars="0" w:firstLineChars="0"/>
        <w:jc w:val="left"/>
        <w:rPr>
          <w:sz w:val="32"/>
          <w:szCs w:val="32"/>
        </w:rPr>
      </w:pPr>
      <w:r>
        <w:rPr>
          <w:rFonts w:hint="eastAsia"/>
          <w:sz w:val="32"/>
          <w:szCs w:val="32"/>
        </w:rPr>
        <w:t>支出预算表</w:t>
      </w:r>
    </w:p>
    <w:p>
      <w:pPr>
        <w:pStyle w:val="82"/>
        <w:numPr>
          <w:ilvl w:val="0"/>
          <w:numId w:val="1"/>
        </w:numPr>
        <w:ind w:left="1350" w:leftChars="0" w:firstLineChars="0"/>
        <w:jc w:val="left"/>
        <w:rPr>
          <w:sz w:val="32"/>
          <w:szCs w:val="32"/>
        </w:rPr>
      </w:pPr>
      <w:r>
        <w:rPr>
          <w:rFonts w:hint="eastAsia"/>
          <w:sz w:val="32"/>
          <w:szCs w:val="32"/>
        </w:rPr>
        <w:t>财政拨款收支预算表</w:t>
      </w:r>
    </w:p>
    <w:p>
      <w:pPr>
        <w:pStyle w:val="82"/>
        <w:numPr>
          <w:ilvl w:val="0"/>
          <w:numId w:val="1"/>
        </w:numPr>
        <w:ind w:left="1350" w:leftChars="0" w:firstLineChars="0"/>
        <w:jc w:val="left"/>
        <w:rPr>
          <w:sz w:val="32"/>
          <w:szCs w:val="32"/>
        </w:rPr>
      </w:pPr>
      <w:r>
        <w:rPr>
          <w:rFonts w:hint="eastAsia"/>
          <w:sz w:val="32"/>
          <w:szCs w:val="32"/>
        </w:rPr>
        <w:t>一般公共预算财政拨款功能分类支出预算表</w:t>
      </w:r>
    </w:p>
    <w:p>
      <w:pPr>
        <w:pStyle w:val="82"/>
        <w:numPr>
          <w:ilvl w:val="0"/>
          <w:numId w:val="1"/>
        </w:numPr>
        <w:ind w:left="1350" w:leftChars="0" w:firstLineChars="0"/>
        <w:jc w:val="left"/>
        <w:rPr>
          <w:rFonts w:hint="eastAsia"/>
          <w:sz w:val="32"/>
          <w:szCs w:val="32"/>
        </w:rPr>
      </w:pPr>
      <w:r>
        <w:rPr>
          <w:rFonts w:hint="eastAsia"/>
          <w:sz w:val="32"/>
          <w:szCs w:val="32"/>
        </w:rPr>
        <w:t>一般公共预算财政拨款部门经济分类支出预算表</w:t>
      </w:r>
    </w:p>
    <w:p>
      <w:pPr>
        <w:pStyle w:val="82"/>
        <w:numPr>
          <w:ilvl w:val="0"/>
          <w:numId w:val="1"/>
        </w:numPr>
        <w:ind w:left="1350" w:leftChars="0"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2"/>
        <w:numPr>
          <w:ilvl w:val="0"/>
          <w:numId w:val="1"/>
        </w:numPr>
        <w:ind w:left="1350" w:leftChars="0" w:firstLineChars="0"/>
        <w:jc w:val="left"/>
        <w:rPr>
          <w:sz w:val="32"/>
          <w:szCs w:val="32"/>
        </w:rPr>
      </w:pPr>
      <w:r>
        <w:rPr>
          <w:rFonts w:hint="eastAsia"/>
          <w:sz w:val="32"/>
          <w:szCs w:val="32"/>
        </w:rPr>
        <w:t>一般公共预算财政拨款“三公”经费支出预算表</w:t>
      </w:r>
    </w:p>
    <w:p>
      <w:pPr>
        <w:pStyle w:val="82"/>
        <w:numPr>
          <w:ilvl w:val="0"/>
          <w:numId w:val="1"/>
        </w:numPr>
        <w:ind w:left="1350" w:leftChars="0" w:firstLineChars="0"/>
        <w:jc w:val="left"/>
        <w:rPr>
          <w:sz w:val="32"/>
          <w:szCs w:val="32"/>
        </w:rPr>
      </w:pPr>
      <w:r>
        <w:rPr>
          <w:rFonts w:hint="eastAsia"/>
          <w:sz w:val="32"/>
          <w:szCs w:val="32"/>
        </w:rPr>
        <w:t>政府性基金预算财政拨款支出预算表</w:t>
      </w:r>
    </w:p>
    <w:p>
      <w:pPr>
        <w:pStyle w:val="82"/>
        <w:numPr>
          <w:ilvl w:val="0"/>
          <w:numId w:val="1"/>
        </w:numPr>
        <w:ind w:left="1350" w:leftChars="0" w:firstLineChars="0"/>
        <w:jc w:val="left"/>
        <w:rPr>
          <w:sz w:val="32"/>
          <w:szCs w:val="32"/>
        </w:rPr>
      </w:pPr>
      <w:r>
        <w:rPr>
          <w:rFonts w:hint="eastAsia"/>
          <w:sz w:val="32"/>
          <w:szCs w:val="32"/>
        </w:rPr>
        <w:t>项目支出绩效目标表</w:t>
      </w:r>
    </w:p>
    <w:p>
      <w:pPr>
        <w:rPr>
          <w:rFonts w:eastAsia="黑体"/>
        </w:rPr>
      </w:pP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640" w:firstLineChars="200"/>
        <w:jc w:val="center"/>
        <w:rPr>
          <w:rFonts w:eastAsia="黑体"/>
        </w:rPr>
      </w:pPr>
      <w:r>
        <w:rPr>
          <w:rFonts w:eastAsia="黑体"/>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600" w:lineRule="exact"/>
        <w:ind w:firstLine="750" w:firstLineChars="250"/>
        <w:rPr>
          <w:rFonts w:ascii="楷体_GB2312" w:eastAsia="楷体_GB2312"/>
          <w:sz w:val="30"/>
          <w:szCs w:val="30"/>
        </w:rPr>
      </w:pPr>
      <w:r>
        <w:rPr>
          <w:rFonts w:hint="eastAsia" w:ascii="楷体_GB2312" w:eastAsia="楷体_GB2312"/>
          <w:sz w:val="30"/>
          <w:szCs w:val="30"/>
        </w:rPr>
        <w:t>梨树县梨树镇预防保健中心隶属梨树县卫生和计划生育局，其主要职责是：</w:t>
      </w:r>
    </w:p>
    <w:p>
      <w:pPr>
        <w:spacing w:line="600" w:lineRule="exact"/>
        <w:ind w:firstLine="750" w:firstLineChars="250"/>
        <w:rPr>
          <w:rFonts w:ascii="楷体_GB2312" w:eastAsia="楷体_GB2312"/>
          <w:sz w:val="30"/>
          <w:szCs w:val="30"/>
        </w:rPr>
      </w:pPr>
      <w:r>
        <w:rPr>
          <w:rFonts w:hint="eastAsia" w:ascii="楷体_GB2312" w:eastAsia="楷体_GB2312"/>
          <w:sz w:val="30"/>
          <w:szCs w:val="30"/>
        </w:rPr>
        <w:t>（一）承担基本公共卫生服务和管理,包括居民健康档案规范建档、管理及服务；妇幼保健管理；健康教育等。</w:t>
      </w:r>
    </w:p>
    <w:p>
      <w:pPr>
        <w:spacing w:line="600" w:lineRule="exact"/>
        <w:ind w:firstLine="750" w:firstLineChars="250"/>
        <w:rPr>
          <w:rFonts w:ascii="楷体_GB2312" w:eastAsia="楷体_GB2312"/>
          <w:sz w:val="30"/>
          <w:szCs w:val="30"/>
        </w:rPr>
      </w:pPr>
      <w:r>
        <w:rPr>
          <w:rFonts w:hint="eastAsia" w:ascii="楷体_GB2312" w:eastAsia="楷体_GB2312"/>
          <w:sz w:val="30"/>
          <w:szCs w:val="30"/>
        </w:rPr>
        <w:t>（二）提供基本医疗服务,正确处理常见病、多发病，以及慢性病人管理、随访及指导。</w:t>
      </w:r>
    </w:p>
    <w:p>
      <w:pPr>
        <w:spacing w:line="600" w:lineRule="exact"/>
        <w:ind w:firstLine="750" w:firstLineChars="250"/>
        <w:rPr>
          <w:rFonts w:ascii="楷体_GB2312" w:eastAsia="楷体_GB2312"/>
          <w:sz w:val="30"/>
          <w:szCs w:val="30"/>
        </w:rPr>
      </w:pPr>
      <w:r>
        <w:rPr>
          <w:rFonts w:hint="eastAsia" w:ascii="楷体_GB2312" w:eastAsia="楷体_GB2312"/>
          <w:sz w:val="30"/>
          <w:szCs w:val="30"/>
        </w:rPr>
        <w:t>（三）提供并组织实施辖区预防接种服务，落实国家免疫规划。</w:t>
      </w:r>
    </w:p>
    <w:p>
      <w:pPr>
        <w:ind w:firstLine="640" w:firstLineChars="200"/>
        <w:rPr>
          <w:color w:val="000000"/>
          <w:szCs w:val="32"/>
        </w:rPr>
      </w:pPr>
    </w:p>
    <w:p>
      <w:pPr>
        <w:ind w:firstLine="640" w:firstLineChars="200"/>
      </w:pPr>
      <w:r>
        <w:rPr>
          <w:rFonts w:eastAsia="楷体_GB2312"/>
        </w:rPr>
        <w:t>二、机构设置</w:t>
      </w:r>
    </w:p>
    <w:p>
      <w:pPr>
        <w:spacing w:line="600" w:lineRule="exact"/>
        <w:ind w:firstLine="800" w:firstLineChars="250"/>
        <w:rPr>
          <w:rFonts w:hint="eastAsia" w:ascii="楷体_GB2312" w:eastAsia="楷体_GB2312"/>
          <w:sz w:val="30"/>
          <w:szCs w:val="30"/>
        </w:rPr>
      </w:pPr>
      <w:r>
        <w:t>根据上述职责，</w:t>
      </w:r>
      <w:r>
        <w:rPr>
          <w:rFonts w:hint="eastAsia"/>
          <w:u w:val="single"/>
        </w:rPr>
        <w:t>梨树镇预防保健中心</w:t>
      </w:r>
      <w:r>
        <w:t>内设</w:t>
      </w:r>
      <w:r>
        <w:rPr>
          <w:rFonts w:hint="eastAsia"/>
          <w:u w:val="single"/>
        </w:rPr>
        <w:t>8</w:t>
      </w:r>
      <w:r>
        <w:t>个机构，分别为</w:t>
      </w:r>
      <w:r>
        <w:rPr>
          <w:rFonts w:hint="eastAsia" w:ascii="楷体_GB2312" w:eastAsia="楷体_GB2312"/>
          <w:sz w:val="30"/>
          <w:szCs w:val="30"/>
        </w:rPr>
        <w:t>免疫规划组、妇幼保健组、注射室、宣教组、行政管理办公室、财会室、公共卫生组、慢病门诊</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hint="default" w:ascii="宋体" w:eastAsia="仿宋_GB2312"/>
          <w:sz w:val="32"/>
          <w:szCs w:val="32"/>
          <w:lang w:val="en-US" w:eastAsia="zh-CN"/>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eastAsia" w:ascii="宋体" w:hAnsi="宋体"/>
          <w:sz w:val="32"/>
          <w:szCs w:val="32"/>
          <w:lang w:val="en-US" w:eastAsia="zh-CN"/>
        </w:rPr>
        <w:t>10</w:t>
      </w:r>
    </w:p>
    <w:p>
      <w:pPr>
        <w:spacing w:line="600" w:lineRule="exact"/>
        <w:ind w:firstLine="750" w:firstLineChars="250"/>
        <w:rPr>
          <w:rFonts w:hint="eastAsia" w:ascii="楷体_GB2312" w:eastAsia="楷体_GB2312"/>
          <w:sz w:val="30"/>
          <w:szCs w:val="30"/>
        </w:rPr>
      </w:pPr>
    </w:p>
    <w:p>
      <w:pPr>
        <w:spacing w:line="600" w:lineRule="exact"/>
        <w:ind w:firstLine="750" w:firstLineChars="250"/>
        <w:rPr>
          <w:rFonts w:hint="eastAsia" w:ascii="楷体_GB2312" w:eastAsia="楷体_GB2312"/>
          <w:sz w:val="30"/>
          <w:szCs w:val="30"/>
        </w:rPr>
      </w:pPr>
    </w:p>
    <w:p>
      <w:pPr>
        <w:spacing w:line="600" w:lineRule="exact"/>
        <w:ind w:firstLine="3040" w:firstLineChars="950"/>
        <w:rPr>
          <w:rFonts w:eastAsia="黑体"/>
        </w:rPr>
      </w:pPr>
    </w:p>
    <w:p>
      <w:pPr>
        <w:spacing w:line="600" w:lineRule="exact"/>
        <w:ind w:firstLine="3040" w:firstLineChars="950"/>
        <w:rPr>
          <w:rFonts w:eastAsia="黑体"/>
        </w:rPr>
      </w:pPr>
    </w:p>
    <w:p>
      <w:pPr>
        <w:spacing w:line="600" w:lineRule="exact"/>
        <w:ind w:firstLine="3040" w:firstLineChars="950"/>
        <w:rPr>
          <w:rFonts w:eastAsia="黑体"/>
        </w:rPr>
      </w:pPr>
    </w:p>
    <w:p>
      <w:pPr>
        <w:spacing w:line="600" w:lineRule="exact"/>
        <w:ind w:firstLine="3040" w:firstLineChars="950"/>
        <w:rPr>
          <w:rFonts w:eastAsia="黑体"/>
        </w:rPr>
      </w:pPr>
    </w:p>
    <w:p>
      <w:pPr>
        <w:spacing w:line="600" w:lineRule="exact"/>
        <w:ind w:firstLine="3040" w:firstLineChars="950"/>
        <w:rPr>
          <w:rFonts w:eastAsia="黑体"/>
        </w:rPr>
      </w:pPr>
    </w:p>
    <w:p>
      <w:pPr>
        <w:spacing w:line="600" w:lineRule="exact"/>
        <w:ind w:firstLine="3040" w:firstLineChars="950"/>
        <w:rPr>
          <w:rFonts w:eastAsia="黑体"/>
        </w:rPr>
      </w:pPr>
      <w:r>
        <w:rPr>
          <w:rFonts w:eastAsia="黑体"/>
        </w:rPr>
        <w:t>第三部分 情况说明</w:t>
      </w:r>
    </w:p>
    <w:p>
      <w:pPr>
        <w:rPr>
          <w:rFonts w:eastAsia="仿宋"/>
          <w:szCs w:val="32"/>
        </w:rPr>
      </w:pPr>
    </w:p>
    <w:p>
      <w:pPr>
        <w:ind w:firstLine="640" w:firstLineChars="200"/>
        <w:rPr>
          <w:rFonts w:eastAsia="黑体"/>
          <w:szCs w:val="32"/>
        </w:rPr>
      </w:pPr>
      <w:r>
        <w:rPr>
          <w:rFonts w:eastAsia="黑体"/>
          <w:szCs w:val="32"/>
        </w:rPr>
        <w:t>一、20</w:t>
      </w:r>
      <w:r>
        <w:rPr>
          <w:rFonts w:hint="eastAsia" w:eastAsia="黑体"/>
          <w:szCs w:val="32"/>
        </w:rPr>
        <w:t>2</w:t>
      </w:r>
      <w:r>
        <w:rPr>
          <w:rFonts w:hint="eastAsia" w:eastAsia="黑体"/>
          <w:szCs w:val="32"/>
          <w:lang w:val="en-US" w:eastAsia="zh-CN"/>
        </w:rPr>
        <w:t>1</w:t>
      </w:r>
      <w:r>
        <w:rPr>
          <w:rFonts w:eastAsia="黑体"/>
          <w:szCs w:val="32"/>
        </w:rPr>
        <w:t>年收支预算总体情况</w:t>
      </w:r>
    </w:p>
    <w:p>
      <w:pPr>
        <w:ind w:firstLine="640" w:firstLineChars="20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体育与传媒支出、社会保障和就业支出、农林水支出、住房保障支出、结转下年支出等。20</w:t>
      </w:r>
      <w:r>
        <w:rPr>
          <w:rFonts w:hint="eastAsia"/>
          <w:szCs w:val="32"/>
        </w:rPr>
        <w:t>2</w:t>
      </w:r>
      <w:r>
        <w:rPr>
          <w:rFonts w:hint="eastAsia"/>
          <w:szCs w:val="32"/>
          <w:lang w:val="en-US" w:eastAsia="zh-CN"/>
        </w:rPr>
        <w:t>1</w:t>
      </w:r>
      <w:r>
        <w:rPr>
          <w:szCs w:val="32"/>
        </w:rPr>
        <w:t>年收支总预算__</w:t>
      </w:r>
      <w:r>
        <w:rPr>
          <w:rFonts w:hint="eastAsia"/>
          <w:szCs w:val="32"/>
        </w:rPr>
        <w:t>417.38</w:t>
      </w:r>
      <w:r>
        <w:rPr>
          <w:szCs w:val="32"/>
        </w:rPr>
        <w:t>___万元</w:t>
      </w:r>
      <w:r>
        <w:rPr>
          <w:rFonts w:hint="eastAsia"/>
          <w:szCs w:val="32"/>
        </w:rPr>
        <w:t>，其中：当年预算</w:t>
      </w:r>
      <w:r>
        <w:rPr>
          <w:szCs w:val="32"/>
        </w:rPr>
        <w:t>__</w:t>
      </w:r>
      <w:r>
        <w:rPr>
          <w:rFonts w:hint="eastAsia"/>
          <w:szCs w:val="32"/>
        </w:rPr>
        <w:t>417.38</w:t>
      </w:r>
      <w:r>
        <w:rPr>
          <w:szCs w:val="32"/>
        </w:rPr>
        <w:t>____</w:t>
      </w:r>
      <w:r>
        <w:rPr>
          <w:rFonts w:hint="eastAsia"/>
          <w:szCs w:val="32"/>
        </w:rPr>
        <w:t>万元；上年结转</w:t>
      </w:r>
      <w:r>
        <w:rPr>
          <w:szCs w:val="32"/>
        </w:rPr>
        <w:t>___</w:t>
      </w:r>
      <w:r>
        <w:rPr>
          <w:rFonts w:hint="eastAsia"/>
          <w:szCs w:val="32"/>
        </w:rPr>
        <w:t>0</w:t>
      </w:r>
      <w:r>
        <w:rPr>
          <w:szCs w:val="32"/>
        </w:rPr>
        <w:t>____</w:t>
      </w:r>
      <w:r>
        <w:rPr>
          <w:rFonts w:hint="eastAsia"/>
          <w:szCs w:val="32"/>
        </w:rPr>
        <w:t>万元。202</w:t>
      </w:r>
      <w:r>
        <w:rPr>
          <w:rFonts w:hint="eastAsia"/>
          <w:szCs w:val="32"/>
          <w:lang w:val="en-US" w:eastAsia="zh-CN"/>
        </w:rPr>
        <w:t>1</w:t>
      </w:r>
      <w:r>
        <w:rPr>
          <w:rFonts w:hint="eastAsia"/>
          <w:szCs w:val="32"/>
        </w:rPr>
        <w:t>年当年预算</w:t>
      </w:r>
      <w:r>
        <w:rPr>
          <w:szCs w:val="32"/>
        </w:rPr>
        <w:t>比20</w:t>
      </w:r>
      <w:r>
        <w:rPr>
          <w:rFonts w:hint="eastAsia"/>
          <w:szCs w:val="32"/>
        </w:rPr>
        <w:t>21</w:t>
      </w:r>
      <w:r>
        <w:rPr>
          <w:szCs w:val="32"/>
        </w:rPr>
        <w:t>年预算</w:t>
      </w:r>
      <w:r>
        <w:rPr>
          <w:rFonts w:hint="eastAsia"/>
          <w:szCs w:val="32"/>
        </w:rPr>
        <w:t>减少30</w:t>
      </w:r>
      <w:r>
        <w:rPr>
          <w:szCs w:val="32"/>
        </w:rPr>
        <w:t>_____万元</w:t>
      </w:r>
      <w:r>
        <w:rPr>
          <w:rFonts w:hint="eastAsia"/>
          <w:szCs w:val="32"/>
        </w:rPr>
        <w:t>，主要原因是卫生健康支出经费减少。</w:t>
      </w:r>
    </w:p>
    <w:p>
      <w:pPr>
        <w:ind w:firstLine="640" w:firstLineChars="200"/>
        <w:rPr>
          <w:sz w:val="30"/>
          <w:szCs w:val="30"/>
        </w:rPr>
      </w:pPr>
      <w:r>
        <w:rPr>
          <w:rFonts w:eastAsia="黑体"/>
          <w:szCs w:val="32"/>
        </w:rPr>
        <w:t>二、20</w:t>
      </w:r>
      <w:r>
        <w:rPr>
          <w:rFonts w:hint="eastAsia" w:eastAsia="黑体"/>
          <w:szCs w:val="32"/>
        </w:rPr>
        <w:t>2</w:t>
      </w:r>
      <w:r>
        <w:rPr>
          <w:rFonts w:hint="eastAsia" w:eastAsia="黑体"/>
          <w:szCs w:val="32"/>
          <w:lang w:val="en-US" w:eastAsia="zh-CN"/>
        </w:rPr>
        <w:t>1</w:t>
      </w:r>
      <w:r>
        <w:rPr>
          <w:rFonts w:eastAsia="黑体"/>
          <w:szCs w:val="32"/>
        </w:rPr>
        <w:t>年收入预算情况</w:t>
      </w:r>
    </w:p>
    <w:p>
      <w:pPr>
        <w:ind w:firstLine="640" w:firstLineChars="200"/>
        <w:rPr>
          <w:rFonts w:hint="eastAsia"/>
          <w:szCs w:val="32"/>
          <w:lang w:eastAsia="zh-CN"/>
        </w:rPr>
      </w:pPr>
      <w:r>
        <w:rPr>
          <w:szCs w:val="32"/>
        </w:rPr>
        <w:t>20</w:t>
      </w:r>
      <w:r>
        <w:rPr>
          <w:rFonts w:hint="eastAsia"/>
          <w:szCs w:val="32"/>
        </w:rPr>
        <w:t>2</w:t>
      </w:r>
      <w:r>
        <w:rPr>
          <w:rFonts w:hint="eastAsia"/>
          <w:szCs w:val="32"/>
          <w:lang w:val="en-US" w:eastAsia="zh-CN"/>
        </w:rPr>
        <w:t>1</w:t>
      </w:r>
      <w:r>
        <w:rPr>
          <w:szCs w:val="32"/>
        </w:rPr>
        <w:t>年收入预算</w:t>
      </w:r>
      <w:r>
        <w:rPr>
          <w:rFonts w:hint="eastAsia"/>
          <w:szCs w:val="32"/>
        </w:rPr>
        <w:t>417.38</w:t>
      </w:r>
      <w:r>
        <w:rPr>
          <w:szCs w:val="32"/>
        </w:rPr>
        <w:t>万元，其中：本年收入</w:t>
      </w:r>
      <w:r>
        <w:rPr>
          <w:rFonts w:hint="eastAsia"/>
          <w:szCs w:val="32"/>
        </w:rPr>
        <w:t>417.38</w:t>
      </w:r>
      <w:r>
        <w:rPr>
          <w:szCs w:val="32"/>
        </w:rPr>
        <w:t>万元，占_</w:t>
      </w:r>
      <w:r>
        <w:rPr>
          <w:rFonts w:hint="eastAsia"/>
          <w:szCs w:val="32"/>
        </w:rPr>
        <w:t>100</w:t>
      </w:r>
      <w:r>
        <w:rPr>
          <w:szCs w:val="32"/>
        </w:rPr>
        <w:t>______%；上年结转____</w:t>
      </w:r>
      <w:r>
        <w:rPr>
          <w:rFonts w:hint="eastAsia"/>
          <w:szCs w:val="32"/>
          <w:lang w:val="en-US" w:eastAsia="zh-CN"/>
        </w:rPr>
        <w:t xml:space="preserve"> 0</w:t>
      </w:r>
      <w:r>
        <w:rPr>
          <w:szCs w:val="32"/>
        </w:rPr>
        <w:t>___万元，占____</w:t>
      </w:r>
      <w:r>
        <w:rPr>
          <w:rFonts w:hint="eastAsia"/>
          <w:szCs w:val="32"/>
          <w:lang w:val="en-US" w:eastAsia="zh-CN"/>
        </w:rPr>
        <w:t>0</w:t>
      </w:r>
      <w:r>
        <w:rPr>
          <w:szCs w:val="32"/>
        </w:rPr>
        <w:t>___%。本年收入中，一般公共预算拨款收入_</w:t>
      </w:r>
      <w:r>
        <w:rPr>
          <w:rFonts w:hint="eastAsia"/>
          <w:szCs w:val="32"/>
        </w:rPr>
        <w:t>417.38</w:t>
      </w:r>
      <w:r>
        <w:rPr>
          <w:szCs w:val="32"/>
        </w:rPr>
        <w:t>______万元，占__</w:t>
      </w:r>
      <w:r>
        <w:rPr>
          <w:rFonts w:hint="eastAsia"/>
          <w:szCs w:val="32"/>
        </w:rPr>
        <w:t>100</w:t>
      </w:r>
      <w:r>
        <w:rPr>
          <w:szCs w:val="32"/>
        </w:rPr>
        <w:t>_____%</w:t>
      </w:r>
      <w:r>
        <w:rPr>
          <w:rFonts w:hint="eastAsia"/>
          <w:szCs w:val="32"/>
          <w:lang w:eastAsia="zh-CN"/>
        </w:rPr>
        <w:t>。</w:t>
      </w:r>
    </w:p>
    <w:p>
      <w:pPr>
        <w:ind w:firstLine="640" w:firstLineChars="200"/>
        <w:rPr>
          <w:rFonts w:eastAsia="黑体"/>
          <w:szCs w:val="32"/>
        </w:rPr>
      </w:pPr>
      <w:r>
        <w:rPr>
          <w:rFonts w:eastAsia="黑体"/>
          <w:szCs w:val="32"/>
        </w:rPr>
        <w:t>三、20</w:t>
      </w:r>
      <w:r>
        <w:rPr>
          <w:rFonts w:hint="eastAsia" w:eastAsia="黑体"/>
          <w:szCs w:val="32"/>
        </w:rPr>
        <w:t>2</w:t>
      </w:r>
      <w:r>
        <w:rPr>
          <w:rFonts w:hint="eastAsia" w:eastAsia="黑体"/>
          <w:szCs w:val="32"/>
          <w:lang w:val="en-US" w:eastAsia="zh-CN"/>
        </w:rPr>
        <w:t>1</w:t>
      </w:r>
      <w:r>
        <w:rPr>
          <w:rFonts w:eastAsia="黑体"/>
          <w:szCs w:val="32"/>
        </w:rPr>
        <w:t>年支出预算情况</w:t>
      </w:r>
    </w:p>
    <w:p>
      <w:pPr>
        <w:ind w:firstLine="600"/>
        <w:rPr>
          <w:rFonts w:hint="eastAsia" w:eastAsia="仿宋_GB2312"/>
          <w:szCs w:val="32"/>
          <w:lang w:eastAsia="zh-CN"/>
        </w:rPr>
      </w:pPr>
      <w:r>
        <w:rPr>
          <w:szCs w:val="32"/>
        </w:rPr>
        <w:t>20</w:t>
      </w:r>
      <w:r>
        <w:rPr>
          <w:rFonts w:hint="eastAsia"/>
          <w:szCs w:val="32"/>
        </w:rPr>
        <w:t>2</w:t>
      </w:r>
      <w:r>
        <w:rPr>
          <w:rFonts w:hint="eastAsia"/>
          <w:szCs w:val="32"/>
          <w:lang w:val="en-US" w:eastAsia="zh-CN"/>
        </w:rPr>
        <w:t>1</w:t>
      </w:r>
      <w:r>
        <w:rPr>
          <w:szCs w:val="32"/>
        </w:rPr>
        <w:t>年支出预算</w:t>
      </w:r>
      <w:r>
        <w:rPr>
          <w:rFonts w:hint="eastAsia"/>
          <w:szCs w:val="32"/>
        </w:rPr>
        <w:t>417.38</w:t>
      </w:r>
      <w:r>
        <w:rPr>
          <w:szCs w:val="32"/>
        </w:rPr>
        <w:t>万元，其中：基本支出</w:t>
      </w:r>
      <w:r>
        <w:rPr>
          <w:rFonts w:hint="eastAsia"/>
          <w:szCs w:val="32"/>
        </w:rPr>
        <w:t>417.38</w:t>
      </w:r>
      <w:r>
        <w:rPr>
          <w:szCs w:val="32"/>
        </w:rPr>
        <w:t>万元，占</w:t>
      </w:r>
      <w:r>
        <w:rPr>
          <w:rFonts w:hint="eastAsia"/>
          <w:szCs w:val="32"/>
        </w:rPr>
        <w:t>100</w:t>
      </w:r>
      <w:r>
        <w:rPr>
          <w:szCs w:val="32"/>
        </w:rPr>
        <w:t>%</w:t>
      </w:r>
      <w:r>
        <w:rPr>
          <w:rFonts w:hint="eastAsia"/>
          <w:szCs w:val="32"/>
          <w:lang w:eastAsia="zh-CN"/>
        </w:rPr>
        <w:t>。</w:t>
      </w:r>
    </w:p>
    <w:p>
      <w:pPr>
        <w:ind w:firstLine="640" w:firstLineChars="200"/>
        <w:rPr>
          <w:rFonts w:eastAsia="黑体"/>
          <w:szCs w:val="32"/>
        </w:rPr>
      </w:pPr>
      <w:r>
        <w:rPr>
          <w:rFonts w:eastAsia="黑体"/>
          <w:szCs w:val="32"/>
        </w:rPr>
        <w:t>四、20</w:t>
      </w:r>
      <w:r>
        <w:rPr>
          <w:rFonts w:hint="eastAsia" w:eastAsia="黑体"/>
          <w:szCs w:val="32"/>
        </w:rPr>
        <w:t>2</w:t>
      </w:r>
      <w:r>
        <w:rPr>
          <w:rFonts w:hint="eastAsia" w:eastAsia="黑体"/>
          <w:szCs w:val="32"/>
          <w:lang w:val="en-US" w:eastAsia="zh-CN"/>
        </w:rPr>
        <w:t>1</w:t>
      </w:r>
      <w:r>
        <w:rPr>
          <w:rFonts w:eastAsia="黑体"/>
          <w:szCs w:val="32"/>
        </w:rPr>
        <w:t>年财政拨款收支预算情况</w:t>
      </w:r>
    </w:p>
    <w:p>
      <w:pPr>
        <w:ind w:firstLine="600"/>
        <w:rPr>
          <w:szCs w:val="32"/>
        </w:rPr>
      </w:pPr>
      <w:r>
        <w:rPr>
          <w:szCs w:val="32"/>
        </w:rPr>
        <w:t>20</w:t>
      </w:r>
      <w:r>
        <w:rPr>
          <w:rFonts w:hint="eastAsia"/>
          <w:szCs w:val="32"/>
        </w:rPr>
        <w:t>2</w:t>
      </w:r>
      <w:r>
        <w:rPr>
          <w:rFonts w:hint="eastAsia"/>
          <w:szCs w:val="32"/>
          <w:lang w:val="en-US" w:eastAsia="zh-CN"/>
        </w:rPr>
        <w:t>1</w:t>
      </w:r>
      <w:r>
        <w:rPr>
          <w:szCs w:val="32"/>
        </w:rPr>
        <w:t>年财政拨款收支总预算</w:t>
      </w:r>
      <w:r>
        <w:rPr>
          <w:rFonts w:hint="eastAsia"/>
          <w:szCs w:val="32"/>
        </w:rPr>
        <w:t>417.38</w:t>
      </w:r>
      <w:r>
        <w:rPr>
          <w:szCs w:val="32"/>
        </w:rPr>
        <w:t>万元，其中：</w:t>
      </w:r>
      <w:r>
        <w:rPr>
          <w:rFonts w:hint="eastAsia"/>
          <w:szCs w:val="32"/>
        </w:rPr>
        <w:t>本年收入417.38</w:t>
      </w:r>
      <w:r>
        <w:rPr>
          <w:szCs w:val="32"/>
        </w:rPr>
        <w:t>万元</w:t>
      </w:r>
      <w:r>
        <w:rPr>
          <w:rFonts w:hint="eastAsia"/>
          <w:szCs w:val="32"/>
        </w:rPr>
        <w:t>，上年结转</w:t>
      </w:r>
      <w:r>
        <w:rPr>
          <w:szCs w:val="32"/>
        </w:rPr>
        <w:t>_______万元</w:t>
      </w:r>
      <w:r>
        <w:rPr>
          <w:rFonts w:hint="eastAsia"/>
          <w:szCs w:val="32"/>
        </w:rPr>
        <w:t>。</w:t>
      </w:r>
      <w:r>
        <w:rPr>
          <w:szCs w:val="32"/>
        </w:rPr>
        <w:t>支出包括：</w:t>
      </w:r>
      <w:r>
        <w:rPr>
          <w:kern w:val="0"/>
          <w:szCs w:val="32"/>
        </w:rPr>
        <w:t>社会保障和就业支出</w:t>
      </w:r>
      <w:r>
        <w:rPr>
          <w:rFonts w:hint="eastAsia"/>
          <w:szCs w:val="32"/>
        </w:rPr>
        <w:t>71.47</w:t>
      </w:r>
      <w:r>
        <w:rPr>
          <w:szCs w:val="32"/>
        </w:rPr>
        <w:t>万元，</w:t>
      </w:r>
      <w:r>
        <w:rPr>
          <w:kern w:val="0"/>
          <w:szCs w:val="32"/>
        </w:rPr>
        <w:t>卫生</w:t>
      </w:r>
      <w:r>
        <w:rPr>
          <w:rFonts w:hint="eastAsia"/>
          <w:kern w:val="0"/>
          <w:szCs w:val="32"/>
        </w:rPr>
        <w:t>健康</w:t>
      </w:r>
      <w:r>
        <w:rPr>
          <w:kern w:val="0"/>
          <w:szCs w:val="32"/>
        </w:rPr>
        <w:t>支出</w:t>
      </w:r>
      <w:r>
        <w:rPr>
          <w:rFonts w:hint="eastAsia"/>
          <w:szCs w:val="32"/>
        </w:rPr>
        <w:t>312.56</w:t>
      </w:r>
      <w:r>
        <w:rPr>
          <w:szCs w:val="32"/>
        </w:rPr>
        <w:t>万元，</w:t>
      </w:r>
      <w:r>
        <w:rPr>
          <w:kern w:val="0"/>
          <w:szCs w:val="32"/>
        </w:rPr>
        <w:t>住房保障支出</w:t>
      </w:r>
      <w:r>
        <w:rPr>
          <w:rFonts w:hint="eastAsia"/>
          <w:szCs w:val="32"/>
        </w:rPr>
        <w:t>33.35</w:t>
      </w:r>
      <w:r>
        <w:rPr>
          <w:szCs w:val="32"/>
        </w:rPr>
        <w:t>万元。</w:t>
      </w:r>
    </w:p>
    <w:p>
      <w:pPr>
        <w:ind w:firstLine="640" w:firstLineChars="200"/>
        <w:rPr>
          <w:rFonts w:eastAsia="黑体"/>
          <w:szCs w:val="30"/>
        </w:rPr>
      </w:pPr>
      <w:r>
        <w:rPr>
          <w:rFonts w:eastAsia="黑体"/>
          <w:szCs w:val="30"/>
        </w:rPr>
        <w:t>五、20</w:t>
      </w:r>
      <w:r>
        <w:rPr>
          <w:rFonts w:hint="eastAsia" w:eastAsia="黑体"/>
          <w:szCs w:val="30"/>
        </w:rPr>
        <w:t>2</w:t>
      </w:r>
      <w:r>
        <w:rPr>
          <w:rFonts w:hint="eastAsia" w:eastAsia="黑体"/>
          <w:szCs w:val="30"/>
          <w:lang w:val="en-US" w:eastAsia="zh-CN"/>
        </w:rPr>
        <w:t>1</w:t>
      </w:r>
      <w:r>
        <w:rPr>
          <w:rFonts w:eastAsia="黑体"/>
          <w:szCs w:val="30"/>
        </w:rPr>
        <w:t>年一般公共预算</w:t>
      </w:r>
      <w:r>
        <w:rPr>
          <w:rFonts w:hint="eastAsia" w:eastAsia="黑体"/>
          <w:szCs w:val="30"/>
        </w:rPr>
        <w:t>支出</w:t>
      </w:r>
      <w:r>
        <w:rPr>
          <w:rFonts w:eastAsia="黑体"/>
          <w:szCs w:val="30"/>
        </w:rPr>
        <w:t>情况</w:t>
      </w:r>
    </w:p>
    <w:p>
      <w:pPr>
        <w:spacing w:line="520" w:lineRule="exact"/>
        <w:ind w:firstLine="640" w:firstLineChars="200"/>
        <w:rPr>
          <w:szCs w:val="32"/>
        </w:rPr>
      </w:pPr>
      <w:r>
        <w:rPr>
          <w:szCs w:val="32"/>
        </w:rPr>
        <w:t>20</w:t>
      </w:r>
      <w:r>
        <w:rPr>
          <w:rFonts w:hint="eastAsia"/>
          <w:szCs w:val="32"/>
        </w:rPr>
        <w:t>2</w:t>
      </w:r>
      <w:r>
        <w:rPr>
          <w:rFonts w:hint="eastAsia"/>
          <w:szCs w:val="32"/>
          <w:lang w:val="en-US" w:eastAsia="zh-CN"/>
        </w:rPr>
        <w:t>1</w:t>
      </w:r>
      <w:r>
        <w:rPr>
          <w:szCs w:val="32"/>
        </w:rPr>
        <w:t>年一般公共预算拨款</w:t>
      </w:r>
      <w:r>
        <w:rPr>
          <w:rFonts w:hint="eastAsia"/>
          <w:szCs w:val="32"/>
        </w:rPr>
        <w:t>417.38</w:t>
      </w:r>
      <w:r>
        <w:rPr>
          <w:szCs w:val="32"/>
        </w:rPr>
        <w:t>万元，其中：基本支出</w:t>
      </w:r>
      <w:r>
        <w:rPr>
          <w:rFonts w:hint="eastAsia"/>
          <w:szCs w:val="32"/>
        </w:rPr>
        <w:t>417.38</w:t>
      </w:r>
      <w:r>
        <w:rPr>
          <w:szCs w:val="32"/>
        </w:rPr>
        <w:t>万元，占</w:t>
      </w:r>
      <w:r>
        <w:rPr>
          <w:rFonts w:hint="eastAsia"/>
          <w:szCs w:val="32"/>
        </w:rPr>
        <w:t>100</w:t>
      </w:r>
      <w:r>
        <w:rPr>
          <w:szCs w:val="32"/>
        </w:rPr>
        <w:t>%；项目支出___万元，占___%。基本支出中，人员经费</w:t>
      </w:r>
      <w:r>
        <w:rPr>
          <w:rFonts w:hint="eastAsia"/>
          <w:szCs w:val="32"/>
        </w:rPr>
        <w:t>415.63</w:t>
      </w:r>
      <w:r>
        <w:rPr>
          <w:szCs w:val="32"/>
        </w:rPr>
        <w:t>万元，占</w:t>
      </w:r>
      <w:r>
        <w:rPr>
          <w:rFonts w:hint="eastAsia"/>
          <w:szCs w:val="32"/>
        </w:rPr>
        <w:t>99</w:t>
      </w:r>
      <w:r>
        <w:rPr>
          <w:szCs w:val="32"/>
        </w:rPr>
        <w:t>%；公用经费</w:t>
      </w:r>
      <w:r>
        <w:rPr>
          <w:rFonts w:hint="eastAsia"/>
          <w:szCs w:val="32"/>
        </w:rPr>
        <w:t>1.75</w:t>
      </w:r>
      <w:r>
        <w:rPr>
          <w:szCs w:val="32"/>
        </w:rPr>
        <w:t>万元，占</w:t>
      </w:r>
      <w:r>
        <w:rPr>
          <w:rFonts w:hint="eastAsia"/>
          <w:szCs w:val="32"/>
        </w:rPr>
        <w:t>1</w:t>
      </w:r>
      <w:r>
        <w:rPr>
          <w:szCs w:val="32"/>
        </w:rPr>
        <w:t>%。</w:t>
      </w:r>
    </w:p>
    <w:p>
      <w:pPr>
        <w:spacing w:line="520" w:lineRule="exact"/>
        <w:ind w:firstLine="200"/>
        <w:rPr>
          <w:szCs w:val="32"/>
        </w:rPr>
      </w:pPr>
      <w:r>
        <w:rPr>
          <w:szCs w:val="32"/>
        </w:rPr>
        <w:t>一般公共服务（类）支出</w:t>
      </w:r>
      <w:r>
        <w:rPr>
          <w:rFonts w:hint="eastAsia"/>
          <w:szCs w:val="32"/>
        </w:rPr>
        <w:t>417.38</w:t>
      </w:r>
      <w:r>
        <w:rPr>
          <w:szCs w:val="32"/>
        </w:rPr>
        <w:t>万元，占</w:t>
      </w:r>
      <w:r>
        <w:rPr>
          <w:rFonts w:hint="eastAsia"/>
          <w:szCs w:val="32"/>
        </w:rPr>
        <w:t>100</w:t>
      </w:r>
      <w:r>
        <w:rPr>
          <w:szCs w:val="32"/>
        </w:rPr>
        <w:t>%，主要用于___</w:t>
      </w:r>
      <w:r>
        <w:rPr>
          <w:rFonts w:hint="eastAsia"/>
          <w:szCs w:val="32"/>
          <w:lang w:val="en-US" w:eastAsia="zh-CN"/>
        </w:rPr>
        <w:t>人员经费</w:t>
      </w:r>
      <w:r>
        <w:rPr>
          <w:szCs w:val="32"/>
        </w:rPr>
        <w:t>__________________。</w:t>
      </w:r>
    </w:p>
    <w:p>
      <w:pPr>
        <w:spacing w:line="520" w:lineRule="exact"/>
        <w:ind w:firstLine="640" w:firstLineChars="200"/>
        <w:rPr>
          <w:rFonts w:eastAsia="黑体"/>
          <w:szCs w:val="32"/>
        </w:rPr>
      </w:pPr>
      <w:r>
        <w:rPr>
          <w:rFonts w:eastAsia="黑体"/>
          <w:szCs w:val="32"/>
        </w:rPr>
        <w:t>六、20</w:t>
      </w:r>
      <w:r>
        <w:rPr>
          <w:rFonts w:hint="eastAsia" w:eastAsia="黑体"/>
          <w:szCs w:val="32"/>
        </w:rPr>
        <w:t>2</w:t>
      </w:r>
      <w:r>
        <w:rPr>
          <w:rFonts w:hint="eastAsia" w:eastAsia="黑体"/>
          <w:szCs w:val="32"/>
          <w:lang w:val="en-US" w:eastAsia="zh-CN"/>
        </w:rPr>
        <w:t>1</w:t>
      </w:r>
      <w:r>
        <w:rPr>
          <w:rFonts w:eastAsia="黑体"/>
          <w:szCs w:val="32"/>
        </w:rPr>
        <w:t>年一般公共预算基本支出情况</w:t>
      </w:r>
    </w:p>
    <w:p>
      <w:pPr>
        <w:ind w:firstLine="640"/>
        <w:rPr>
          <w:szCs w:val="32"/>
        </w:rPr>
      </w:pPr>
      <w:r>
        <w:rPr>
          <w:szCs w:val="32"/>
        </w:rPr>
        <w:t>20</w:t>
      </w:r>
      <w:r>
        <w:rPr>
          <w:rFonts w:hint="eastAsia"/>
          <w:szCs w:val="32"/>
        </w:rPr>
        <w:t>22</w:t>
      </w:r>
      <w:r>
        <w:rPr>
          <w:szCs w:val="32"/>
        </w:rPr>
        <w:t>年一般公共预算基本支</w:t>
      </w:r>
      <w:r>
        <w:rPr>
          <w:rFonts w:hint="eastAsia"/>
          <w:szCs w:val="32"/>
        </w:rPr>
        <w:t>417.38</w:t>
      </w:r>
      <w:r>
        <w:rPr>
          <w:szCs w:val="32"/>
        </w:rPr>
        <w:t>万元，其中：</w:t>
      </w:r>
    </w:p>
    <w:p>
      <w:pPr>
        <w:ind w:firstLine="640" w:firstLineChars="200"/>
        <w:rPr>
          <w:kern w:val="0"/>
          <w:szCs w:val="32"/>
        </w:rPr>
      </w:pPr>
      <w:r>
        <w:rPr>
          <w:szCs w:val="32"/>
        </w:rPr>
        <w:t>人员经费</w:t>
      </w:r>
      <w:r>
        <w:rPr>
          <w:rFonts w:hint="eastAsia"/>
          <w:szCs w:val="32"/>
        </w:rPr>
        <w:t>415.63</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pPr>
        <w:ind w:firstLine="640" w:firstLineChars="200"/>
        <w:rPr>
          <w:szCs w:val="32"/>
        </w:rPr>
      </w:pPr>
      <w:r>
        <w:rPr>
          <w:kern w:val="0"/>
          <w:szCs w:val="32"/>
        </w:rPr>
        <w:t>公用经费</w:t>
      </w:r>
      <w:r>
        <w:rPr>
          <w:rFonts w:hint="eastAsia"/>
          <w:szCs w:val="32"/>
        </w:rPr>
        <w:t>1.75</w:t>
      </w:r>
      <w:r>
        <w:rPr>
          <w:szCs w:val="32"/>
        </w:rPr>
        <w:t>万元，主要包括：</w:t>
      </w:r>
      <w:r>
        <w:rPr>
          <w:rFonts w:hint="eastAsia"/>
          <w:szCs w:val="32"/>
        </w:rPr>
        <w:t>办公费，</w:t>
      </w:r>
      <w:r>
        <w:rPr>
          <w:kern w:val="0"/>
          <w:szCs w:val="32"/>
        </w:rPr>
        <w:t>邮电费</w:t>
      </w:r>
      <w:r>
        <w:rPr>
          <w:rFonts w:hint="eastAsia"/>
          <w:szCs w:val="32"/>
        </w:rPr>
        <w:t>。</w:t>
      </w:r>
    </w:p>
    <w:p>
      <w:pPr>
        <w:rPr>
          <w:rFonts w:eastAsia="黑体"/>
          <w:szCs w:val="30"/>
        </w:rPr>
      </w:pPr>
      <w:r>
        <w:rPr>
          <w:rFonts w:eastAsia="黑体"/>
          <w:szCs w:val="30"/>
        </w:rPr>
        <w:t>七、20</w:t>
      </w:r>
      <w:r>
        <w:rPr>
          <w:rFonts w:hint="eastAsia" w:eastAsia="黑体"/>
          <w:szCs w:val="30"/>
        </w:rPr>
        <w:t>2</w:t>
      </w:r>
      <w:r>
        <w:rPr>
          <w:rFonts w:hint="eastAsia" w:eastAsia="黑体"/>
          <w:szCs w:val="30"/>
          <w:lang w:val="en-US" w:eastAsia="zh-CN"/>
        </w:rPr>
        <w:t>1</w:t>
      </w:r>
      <w:r>
        <w:rPr>
          <w:rFonts w:eastAsia="黑体"/>
          <w:szCs w:val="30"/>
        </w:rPr>
        <w:t>年一般公共预算</w:t>
      </w:r>
      <w:r>
        <w:rPr>
          <w:rFonts w:hint="eastAsia" w:eastAsia="黑体"/>
          <w:szCs w:val="30"/>
        </w:rPr>
        <w:t>财政拨款</w:t>
      </w:r>
      <w:r>
        <w:rPr>
          <w:rFonts w:eastAsia="黑体"/>
          <w:szCs w:val="30"/>
        </w:rPr>
        <w:t>“三公”经费情况</w:t>
      </w:r>
    </w:p>
    <w:p>
      <w:pPr>
        <w:ind w:firstLine="720" w:firstLineChars="200"/>
        <w:rPr>
          <w:rFonts w:hint="eastAsia" w:ascii="仿宋" w:hAnsi="仿宋" w:eastAsia="仿宋" w:cs="仿宋"/>
          <w:b w:val="0"/>
          <w:bCs w:val="0"/>
          <w:szCs w:val="30"/>
          <w:lang w:val="en-US" w:eastAsia="zh-CN"/>
        </w:rPr>
      </w:pPr>
      <w:r>
        <w:rPr>
          <w:rFonts w:hint="eastAsia" w:ascii="仿宋" w:hAnsi="仿宋" w:eastAsia="仿宋" w:cs="仿宋"/>
          <w:b w:val="0"/>
          <w:bCs w:val="0"/>
          <w:sz w:val="36"/>
          <w:szCs w:val="32"/>
          <w:lang w:val="en-US" w:eastAsia="zh-CN"/>
        </w:rPr>
        <w:t>本部门无一般公共预算拨款。</w:t>
      </w:r>
    </w:p>
    <w:p>
      <w:pPr>
        <w:rPr>
          <w:rFonts w:eastAsia="黑体"/>
          <w:szCs w:val="32"/>
        </w:rPr>
      </w:pPr>
      <w:r>
        <w:rPr>
          <w:rFonts w:eastAsia="黑体"/>
          <w:szCs w:val="32"/>
        </w:rPr>
        <w:t>八、20</w:t>
      </w:r>
      <w:r>
        <w:rPr>
          <w:rFonts w:hint="eastAsia" w:eastAsia="黑体"/>
          <w:szCs w:val="32"/>
        </w:rPr>
        <w:t>2</w:t>
      </w:r>
      <w:r>
        <w:rPr>
          <w:rFonts w:hint="eastAsia" w:eastAsia="黑体"/>
          <w:szCs w:val="32"/>
          <w:lang w:val="en-US" w:eastAsia="zh-CN"/>
        </w:rPr>
        <w:t>1</w:t>
      </w:r>
      <w:r>
        <w:rPr>
          <w:rFonts w:eastAsia="黑体"/>
          <w:szCs w:val="32"/>
        </w:rPr>
        <w:t>年政府性基金预算支出情况</w:t>
      </w:r>
    </w:p>
    <w:p>
      <w:pPr>
        <w:ind w:firstLine="640"/>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本部门无政府性基金预算拨款</w:t>
      </w:r>
    </w:p>
    <w:p>
      <w:pPr>
        <w:rPr>
          <w:rFonts w:eastAsia="黑体"/>
          <w:szCs w:val="32"/>
        </w:rPr>
      </w:pPr>
      <w:r>
        <w:rPr>
          <w:rFonts w:hint="eastAsia" w:eastAsia="黑体"/>
          <w:szCs w:val="32"/>
          <w:lang w:val="en-US" w:eastAsia="zh-CN"/>
        </w:rPr>
        <w:t>九</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szCs w:val="32"/>
        </w:rPr>
      </w:pPr>
      <w:r>
        <w:rPr>
          <w:szCs w:val="32"/>
        </w:rPr>
        <w:t>20</w:t>
      </w:r>
      <w:r>
        <w:rPr>
          <w:rFonts w:hint="eastAsia"/>
          <w:szCs w:val="32"/>
        </w:rPr>
        <w:t>2</w:t>
      </w:r>
      <w:r>
        <w:rPr>
          <w:rFonts w:hint="eastAsia"/>
          <w:szCs w:val="32"/>
          <w:lang w:val="en-US" w:eastAsia="zh-CN"/>
        </w:rPr>
        <w:t>1</w:t>
      </w:r>
      <w:r>
        <w:rPr>
          <w:szCs w:val="32"/>
        </w:rPr>
        <w:t>年部门本级____家行政单位</w:t>
      </w:r>
      <w:r>
        <w:rPr>
          <w:rFonts w:hint="eastAsia"/>
          <w:szCs w:val="32"/>
        </w:rPr>
        <w:t>(或参公管理事业单位或事业单位）</w:t>
      </w:r>
      <w:r>
        <w:rPr>
          <w:szCs w:val="32"/>
        </w:rPr>
        <w:t>的机关运行经费财政拨款预算_______万元，比20</w:t>
      </w:r>
      <w:r>
        <w:rPr>
          <w:rFonts w:hint="eastAsia"/>
          <w:szCs w:val="32"/>
        </w:rPr>
        <w:t>2</w:t>
      </w:r>
      <w:r>
        <w:rPr>
          <w:rFonts w:hint="eastAsia"/>
          <w:szCs w:val="32"/>
          <w:lang w:val="en-US" w:eastAsia="zh-CN"/>
        </w:rPr>
        <w:t>0</w:t>
      </w:r>
      <w:r>
        <w:rPr>
          <w:szCs w:val="32"/>
        </w:rPr>
        <w:t>年预算增加（减少）_______万元，增长（下降）_______%</w:t>
      </w:r>
      <w:r>
        <w:rPr>
          <w:rFonts w:hint="eastAsia"/>
          <w:szCs w:val="32"/>
        </w:rPr>
        <w:t>，主要原因是</w:t>
      </w:r>
      <w:r>
        <w:rPr>
          <w:szCs w:val="32"/>
        </w:rPr>
        <w:t>_____________________。</w:t>
      </w:r>
    </w:p>
    <w:p>
      <w:pPr>
        <w:spacing w:line="540" w:lineRule="exact"/>
        <w:ind w:firstLine="640" w:firstLineChars="200"/>
        <w:rPr>
          <w:rFonts w:eastAsia="楷体"/>
          <w:szCs w:val="32"/>
        </w:rPr>
      </w:pPr>
      <w:r>
        <w:rPr>
          <w:rFonts w:eastAsia="楷体"/>
          <w:szCs w:val="32"/>
        </w:rPr>
        <w:t>（二）政府采购情况</w:t>
      </w:r>
    </w:p>
    <w:p>
      <w:pPr>
        <w:spacing w:line="540" w:lineRule="exact"/>
        <w:ind w:firstLine="640" w:firstLineChars="200"/>
        <w:rPr>
          <w:szCs w:val="32"/>
        </w:rPr>
      </w:pPr>
      <w:r>
        <w:rPr>
          <w:szCs w:val="32"/>
        </w:rPr>
        <w:t>20</w:t>
      </w:r>
      <w:r>
        <w:rPr>
          <w:rFonts w:hint="eastAsia"/>
          <w:szCs w:val="32"/>
        </w:rPr>
        <w:t>2</w:t>
      </w:r>
      <w:r>
        <w:rPr>
          <w:rFonts w:hint="eastAsia"/>
          <w:szCs w:val="32"/>
          <w:lang w:val="en-US" w:eastAsia="zh-CN"/>
        </w:rPr>
        <w:t>1</w:t>
      </w:r>
      <w:r>
        <w:rPr>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szCs w:val="32"/>
        </w:rPr>
      </w:pPr>
      <w:r>
        <w:rPr>
          <w:rFonts w:hint="eastAsia"/>
          <w:szCs w:val="32"/>
        </w:rPr>
        <w:t>截至202</w:t>
      </w:r>
      <w:r>
        <w:rPr>
          <w:rFonts w:hint="eastAsia"/>
          <w:szCs w:val="32"/>
          <w:lang w:val="en-US" w:eastAsia="zh-CN"/>
        </w:rPr>
        <w:t>0</w:t>
      </w:r>
      <w:r>
        <w:rPr>
          <w:rFonts w:hint="eastAsia"/>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szCs w:val="32"/>
        </w:rPr>
      </w:pPr>
      <w:r>
        <w:rPr>
          <w:rFonts w:hint="eastAsia"/>
          <w:szCs w:val="32"/>
        </w:rPr>
        <w:t>202</w:t>
      </w:r>
      <w:r>
        <w:rPr>
          <w:rFonts w:hint="eastAsia"/>
          <w:szCs w:val="32"/>
          <w:lang w:val="en-US" w:eastAsia="zh-CN"/>
        </w:rPr>
        <w:t>1</w:t>
      </w:r>
      <w:r>
        <w:rPr>
          <w:rFonts w:hint="eastAsia"/>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2"/>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pPr>
      <w:r>
        <w:t>202</w:t>
      </w:r>
      <w:r>
        <w:rPr>
          <w:rFonts w:hint="eastAsia"/>
          <w:lang w:val="en-US" w:eastAsia="zh-CN"/>
        </w:rPr>
        <w:t>1</w:t>
      </w:r>
      <w:r>
        <w:t>年部门项目支出</w:t>
      </w:r>
      <w:r>
        <w:rPr>
          <w:szCs w:val="32"/>
        </w:rPr>
        <w:t>____万元，其中：一级项目____个，二级项目____个；使用</w:t>
      </w:r>
      <w:r>
        <w:rPr>
          <w:rFonts w:hint="eastAsia"/>
          <w:szCs w:val="32"/>
        </w:rPr>
        <w:t>本年拨款</w:t>
      </w:r>
      <w:r>
        <w:rPr>
          <w:szCs w:val="32"/>
        </w:rPr>
        <w:t>____万元，</w:t>
      </w:r>
      <w:r>
        <w:rPr>
          <w:rFonts w:hint="eastAsia"/>
          <w:szCs w:val="32"/>
        </w:rPr>
        <w:t>财政拨款结转</w:t>
      </w:r>
      <w:r>
        <w:rPr>
          <w:szCs w:val="32"/>
        </w:rPr>
        <w:t>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宋体" w:hAnsi="宋体"/>
        </w:rPr>
        <w:t>按照全面实施预算绩效管理的要求，结合本部门职能和重点工作，202</w:t>
      </w:r>
      <w:r>
        <w:rPr>
          <w:rFonts w:hint="eastAsia" w:ascii="宋体" w:hAnsi="宋体"/>
          <w:lang w:val="en-US" w:eastAsia="zh-CN"/>
        </w:rPr>
        <w:t>1</w:t>
      </w:r>
      <w:r>
        <w:rPr>
          <w:rFonts w:hint="eastAsia" w:ascii="宋体" w:hAnsi="宋体"/>
        </w:rPr>
        <w:t>年确定</w:t>
      </w:r>
      <w:r>
        <w:rPr>
          <w:szCs w:val="32"/>
        </w:rPr>
        <w:t>____</w:t>
      </w:r>
      <w:r>
        <w:rPr>
          <w:rFonts w:hint="eastAsia" w:ascii="宋体" w:hAnsi="宋体"/>
        </w:rPr>
        <w:t>个一级项目支出的绩效目标和指标向社会公开，涉及金额</w:t>
      </w:r>
      <w:r>
        <w:rPr>
          <w:szCs w:val="32"/>
        </w:rPr>
        <w:t>_____</w:t>
      </w:r>
      <w:r>
        <w:rPr>
          <w:rFonts w:hint="eastAsia" w:ascii="宋体" w:hAnsi="宋体"/>
        </w:rPr>
        <w:t>万元。</w:t>
      </w:r>
    </w:p>
    <w:p>
      <w:pPr>
        <w:ind w:firstLine="645"/>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r>
        <w:rPr>
          <w:rFonts w:eastAsia="楷体"/>
          <w:szCs w:val="32"/>
        </w:rPr>
        <w:br w:type="page"/>
      </w:r>
    </w:p>
    <w:p>
      <w:pPr>
        <w:ind w:firstLine="640" w:firstLineChars="200"/>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eastAsia="仿宋"/>
          <w:szCs w:val="32"/>
        </w:rPr>
      </w:pPr>
      <w:r>
        <w:rPr>
          <w:rFonts w:eastAsia="楷体"/>
          <w:szCs w:val="32"/>
        </w:rPr>
        <w:t>（</w:t>
      </w:r>
      <w:r>
        <w:rPr>
          <w:rFonts w:hint="eastAsia" w:eastAsia="楷体"/>
          <w:szCs w:val="32"/>
        </w:rPr>
        <w:t>九</w:t>
      </w:r>
      <w:r>
        <w:rPr>
          <w:rFonts w:eastAsia="楷体"/>
          <w:szCs w:val="32"/>
        </w:rPr>
        <w:t>）其他收入：</w:t>
      </w:r>
      <w:r>
        <w:rPr>
          <w:szCs w:val="32"/>
        </w:rPr>
        <w:t>指除上述“一般公共预算拨款收入”、</w:t>
      </w:r>
      <w:r>
        <w:rPr>
          <w:rFonts w:hint="eastAsia"/>
          <w:szCs w:val="32"/>
        </w:rPr>
        <w:t>“政府性基金预算拨款收入”、</w:t>
      </w:r>
      <w:r>
        <w:rPr>
          <w:szCs w:val="32"/>
        </w:rPr>
        <w:t>“事业收入”、“事业单位经营收入”等以外的收入。</w:t>
      </w:r>
    </w:p>
    <w:p>
      <w:pPr>
        <w:ind w:firstLine="640"/>
        <w:rPr>
          <w:szCs w:val="32"/>
        </w:rPr>
      </w:pPr>
      <w:r>
        <w:rPr>
          <w:rFonts w:eastAsia="楷体"/>
          <w:szCs w:val="32"/>
        </w:rPr>
        <w:t>（</w:t>
      </w:r>
      <w:r>
        <w:rPr>
          <w:rFonts w:hint="eastAsia" w:eastAsia="楷体"/>
          <w:szCs w:val="32"/>
        </w:rPr>
        <w:t>十</w:t>
      </w:r>
      <w:r>
        <w:rPr>
          <w:rFonts w:eastAsia="楷体"/>
          <w:szCs w:val="32"/>
        </w:rPr>
        <w:t>）用事业基金弥补收支差额：</w:t>
      </w:r>
      <w:r>
        <w:rPr>
          <w:szCs w:val="32"/>
        </w:rPr>
        <w:t>指事业单位在预计当年的“一般公共预算拨款收入”、</w:t>
      </w:r>
      <w:r>
        <w:rPr>
          <w:rFonts w:hint="eastAsia"/>
          <w:szCs w:val="32"/>
        </w:rPr>
        <w:t>“政府性基金预算拨款收入”、</w:t>
      </w:r>
      <w:r>
        <w:rPr>
          <w:szCs w:val="32"/>
        </w:rPr>
        <w:t>“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2</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07553"/>
    <w:multiLevelType w:val="multilevel"/>
    <w:tmpl w:val="5CC07553"/>
    <w:lvl w:ilvl="0" w:tentative="0">
      <w:start w:val="1"/>
      <w:numFmt w:val="japaneseCounting"/>
      <w:lvlText w:val="%1、"/>
      <w:lvlJc w:val="left"/>
      <w:pPr>
        <w:ind w:left="1350" w:hanging="720"/>
      </w:pPr>
      <w:rPr>
        <w:rFonts w:hint="default" w:cs="Times New Roman"/>
      </w:rPr>
    </w:lvl>
    <w:lvl w:ilvl="1" w:tentative="0">
      <w:start w:val="1"/>
      <w:numFmt w:val="lowerLetter"/>
      <w:lvlText w:val="%2)"/>
      <w:lvlJc w:val="left"/>
      <w:pPr>
        <w:ind w:left="1470" w:hanging="420"/>
      </w:pPr>
      <w:rPr>
        <w:rFonts w:cs="Times New Roman"/>
      </w:rPr>
    </w:lvl>
    <w:lvl w:ilvl="2" w:tentative="0">
      <w:start w:val="1"/>
      <w:numFmt w:val="lowerRoman"/>
      <w:lvlText w:val="%3."/>
      <w:lvlJc w:val="right"/>
      <w:pPr>
        <w:ind w:left="1890" w:hanging="420"/>
      </w:pPr>
      <w:rPr>
        <w:rFonts w:cs="Times New Roman"/>
      </w:rPr>
    </w:lvl>
    <w:lvl w:ilvl="3" w:tentative="0">
      <w:start w:val="1"/>
      <w:numFmt w:val="decimal"/>
      <w:lvlText w:val="%4."/>
      <w:lvlJc w:val="left"/>
      <w:pPr>
        <w:ind w:left="2310" w:hanging="420"/>
      </w:pPr>
      <w:rPr>
        <w:rFonts w:cs="Times New Roman"/>
      </w:rPr>
    </w:lvl>
    <w:lvl w:ilvl="4" w:tentative="0">
      <w:start w:val="1"/>
      <w:numFmt w:val="lowerLetter"/>
      <w:lvlText w:val="%5)"/>
      <w:lvlJc w:val="left"/>
      <w:pPr>
        <w:ind w:left="2730" w:hanging="420"/>
      </w:pPr>
      <w:rPr>
        <w:rFonts w:cs="Times New Roman"/>
      </w:rPr>
    </w:lvl>
    <w:lvl w:ilvl="5" w:tentative="0">
      <w:start w:val="1"/>
      <w:numFmt w:val="lowerRoman"/>
      <w:lvlText w:val="%6."/>
      <w:lvlJc w:val="right"/>
      <w:pPr>
        <w:ind w:left="3150" w:hanging="420"/>
      </w:pPr>
      <w:rPr>
        <w:rFonts w:cs="Times New Roman"/>
      </w:rPr>
    </w:lvl>
    <w:lvl w:ilvl="6" w:tentative="0">
      <w:start w:val="1"/>
      <w:numFmt w:val="decimal"/>
      <w:lvlText w:val="%7."/>
      <w:lvlJc w:val="left"/>
      <w:pPr>
        <w:ind w:left="3570" w:hanging="420"/>
      </w:pPr>
      <w:rPr>
        <w:rFonts w:cs="Times New Roman"/>
      </w:rPr>
    </w:lvl>
    <w:lvl w:ilvl="7" w:tentative="0">
      <w:start w:val="1"/>
      <w:numFmt w:val="lowerLetter"/>
      <w:lvlText w:val="%8)"/>
      <w:lvlJc w:val="left"/>
      <w:pPr>
        <w:ind w:left="3990" w:hanging="420"/>
      </w:pPr>
      <w:rPr>
        <w:rFonts w:cs="Times New Roman"/>
      </w:rPr>
    </w:lvl>
    <w:lvl w:ilvl="8" w:tentative="0">
      <w:start w:val="1"/>
      <w:numFmt w:val="lowerRoman"/>
      <w:lvlText w:val="%9."/>
      <w:lvlJc w:val="right"/>
      <w:pPr>
        <w:ind w:left="4410" w:hanging="420"/>
      </w:pPr>
      <w:rPr>
        <w:rFonts w:cs="Times New Roman"/>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HorizontalSpacing w:val="156"/>
  <w:drawingGridVerticalSpacing w:val="287"/>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hNjM2NDdjNDUzZWQyNjE4MjUzZTNiNGEyZWNmMzkifQ=="/>
  </w:docVars>
  <w:rsids>
    <w:rsidRoot w:val="00000000"/>
    <w:rsid w:val="0E1319C3"/>
    <w:rsid w:val="17A95FE7"/>
    <w:rsid w:val="319F52F7"/>
    <w:rsid w:val="34D128EE"/>
    <w:rsid w:val="5C936729"/>
    <w:rsid w:val="6AC975E8"/>
    <w:rsid w:val="6E747FC2"/>
    <w:rsid w:val="70032B56"/>
    <w:rsid w:val="78F257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5"/>
    <w:qFormat/>
    <w:uiPriority w:val="0"/>
    <w:rPr>
      <w:sz w:val="18"/>
      <w:szCs w:val="18"/>
    </w:rPr>
  </w:style>
  <w:style w:type="paragraph" w:styleId="6">
    <w:name w:val="footer"/>
    <w:basedOn w:val="1"/>
    <w:link w:val="12"/>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page number"/>
    <w:basedOn w:val="9"/>
    <w:uiPriority w:val="0"/>
  </w:style>
  <w:style w:type="character" w:customStyle="1" w:styleId="12">
    <w:name w:val="页脚 Char"/>
    <w:link w:val="6"/>
    <w:qFormat/>
    <w:uiPriority w:val="0"/>
    <w:rPr>
      <w:rFonts w:eastAsia="仿宋_GB2312"/>
      <w:kern w:val="2"/>
      <w:sz w:val="18"/>
    </w:rPr>
  </w:style>
  <w:style w:type="character" w:customStyle="1" w:styleId="13">
    <w:name w:val="font41"/>
    <w:qFormat/>
    <w:uiPriority w:val="0"/>
    <w:rPr>
      <w:rFonts w:hint="default" w:ascii="华文细黑" w:hAnsi="华文细黑" w:eastAsia="华文细黑" w:cs="华文细黑"/>
      <w:color w:val="000000"/>
      <w:sz w:val="20"/>
      <w:szCs w:val="20"/>
      <w:u w:val="none"/>
    </w:rPr>
  </w:style>
  <w:style w:type="character" w:customStyle="1" w:styleId="14">
    <w:name w:val="font61"/>
    <w:qFormat/>
    <w:uiPriority w:val="0"/>
    <w:rPr>
      <w:rFonts w:hint="eastAsia" w:ascii="宋体" w:hAnsi="宋体" w:eastAsia="宋体" w:cs="宋体"/>
      <w:color w:val="000000"/>
      <w:sz w:val="24"/>
      <w:szCs w:val="24"/>
      <w:u w:val="none"/>
    </w:rPr>
  </w:style>
  <w:style w:type="character" w:customStyle="1" w:styleId="15">
    <w:name w:val="批注框文本 Char"/>
    <w:link w:val="5"/>
    <w:qFormat/>
    <w:uiPriority w:val="0"/>
    <w:rPr>
      <w:rFonts w:eastAsia="仿宋_GB2312"/>
      <w:kern w:val="2"/>
      <w:sz w:val="18"/>
      <w:szCs w:val="18"/>
    </w:rPr>
  </w:style>
  <w:style w:type="character" w:customStyle="1" w:styleId="16">
    <w:name w:val="font11"/>
    <w:qFormat/>
    <w:uiPriority w:val="0"/>
    <w:rPr>
      <w:rFonts w:hint="default" w:ascii="Arial" w:hAnsi="Arial" w:cs="Arial"/>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21"/>
    <w:qFormat/>
    <w:uiPriority w:val="0"/>
    <w:rPr>
      <w:rFonts w:hint="default" w:ascii="Arial" w:hAnsi="Arial" w:cs="Arial"/>
      <w:color w:val="000000"/>
      <w:sz w:val="20"/>
      <w:szCs w:val="20"/>
      <w:u w:val="none"/>
    </w:rPr>
  </w:style>
  <w:style w:type="paragraph" w:customStyle="1" w:styleId="19">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0">
    <w:name w:val="页脚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1">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脚 New New New New New New New New New New New"/>
    <w:basedOn w:val="1"/>
    <w:qFormat/>
    <w:uiPriority w:val="0"/>
    <w:pPr>
      <w:tabs>
        <w:tab w:val="center" w:pos="4153"/>
        <w:tab w:val="right" w:pos="8306"/>
      </w:tabs>
      <w:snapToGrid w:val="0"/>
      <w:jc w:val="left"/>
    </w:pPr>
    <w:rPr>
      <w:sz w:val="18"/>
    </w:rPr>
  </w:style>
  <w:style w:type="paragraph" w:customStyle="1" w:styleId="23">
    <w:name w:val="页脚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4">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w:basedOn w:val="1"/>
    <w:qFormat/>
    <w:uiPriority w:val="0"/>
    <w:pPr>
      <w:tabs>
        <w:tab w:val="center" w:pos="4153"/>
        <w:tab w:val="right" w:pos="8306"/>
      </w:tabs>
      <w:snapToGrid w:val="0"/>
      <w:jc w:val="left"/>
    </w:pPr>
    <w:rPr>
      <w:sz w:val="18"/>
    </w:rPr>
  </w:style>
  <w:style w:type="paragraph" w:customStyle="1" w:styleId="27">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8">
    <w:name w:val="页脚 New New New New New New New New New New New New New"/>
    <w:basedOn w:val="1"/>
    <w:qFormat/>
    <w:uiPriority w:val="0"/>
    <w:pPr>
      <w:tabs>
        <w:tab w:val="center" w:pos="4153"/>
        <w:tab w:val="right" w:pos="8306"/>
      </w:tabs>
      <w:snapToGrid w:val="0"/>
      <w:jc w:val="left"/>
    </w:pPr>
    <w:rPr>
      <w:sz w:val="18"/>
    </w:rPr>
  </w:style>
  <w:style w:type="paragraph" w:customStyle="1" w:styleId="2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1">
    <w:name w:val="页脚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4">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Char"/>
    <w:basedOn w:val="1"/>
    <w:qFormat/>
    <w:uiPriority w:val="0"/>
    <w:rPr>
      <w:rFonts w:eastAsia="宋体"/>
      <w:sz w:val="21"/>
      <w:szCs w:val="21"/>
    </w:rPr>
  </w:style>
  <w:style w:type="paragraph" w:customStyle="1" w:styleId="4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New New"/>
    <w:basedOn w:val="1"/>
    <w:qFormat/>
    <w:uiPriority w:val="0"/>
    <w:pPr>
      <w:tabs>
        <w:tab w:val="center" w:pos="4153"/>
        <w:tab w:val="right" w:pos="8306"/>
      </w:tabs>
      <w:snapToGrid w:val="0"/>
      <w:jc w:val="left"/>
    </w:pPr>
    <w:rPr>
      <w:sz w:val="18"/>
    </w:rPr>
  </w:style>
  <w:style w:type="paragraph" w:customStyle="1" w:styleId="44">
    <w:name w:val="页脚 New New New New New New New"/>
    <w:basedOn w:val="1"/>
    <w:qFormat/>
    <w:uiPriority w:val="0"/>
    <w:pPr>
      <w:tabs>
        <w:tab w:val="center" w:pos="4153"/>
        <w:tab w:val="right" w:pos="8306"/>
      </w:tabs>
      <w:snapToGrid w:val="0"/>
      <w:jc w:val="left"/>
    </w:pPr>
    <w:rPr>
      <w:sz w:val="18"/>
    </w:rPr>
  </w:style>
  <w:style w:type="paragraph" w:customStyle="1" w:styleId="45">
    <w:name w:val="页脚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6">
    <w:name w:val="页脚 New New New New New New New New"/>
    <w:basedOn w:val="1"/>
    <w:qFormat/>
    <w:uiPriority w:val="0"/>
    <w:pPr>
      <w:tabs>
        <w:tab w:val="center" w:pos="4153"/>
        <w:tab w:val="right" w:pos="8306"/>
      </w:tabs>
      <w:snapToGrid w:val="0"/>
      <w:jc w:val="left"/>
    </w:pPr>
    <w:rPr>
      <w:sz w:val="18"/>
    </w:rPr>
  </w:style>
  <w:style w:type="paragraph" w:customStyle="1" w:styleId="47">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脚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5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5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5">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57">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qFormat/>
    <w:uiPriority w:val="0"/>
    <w:pPr>
      <w:tabs>
        <w:tab w:val="center" w:pos="4153"/>
        <w:tab w:val="right" w:pos="8306"/>
      </w:tabs>
      <w:snapToGrid w:val="0"/>
      <w:jc w:val="left"/>
    </w:pPr>
    <w:rPr>
      <w:sz w:val="18"/>
    </w:rPr>
  </w:style>
  <w:style w:type="paragraph" w:customStyle="1" w:styleId="61">
    <w:name w:val="页脚 New New New New New New New New New"/>
    <w:basedOn w:val="1"/>
    <w:qFormat/>
    <w:uiPriority w:val="0"/>
    <w:pPr>
      <w:tabs>
        <w:tab w:val="center" w:pos="4153"/>
        <w:tab w:val="right" w:pos="8306"/>
      </w:tabs>
      <w:snapToGrid w:val="0"/>
      <w:jc w:val="left"/>
    </w:pPr>
    <w:rPr>
      <w:sz w:val="18"/>
    </w:rPr>
  </w:style>
  <w:style w:type="paragraph" w:customStyle="1" w:styleId="62">
    <w:name w:val="页脚 New New New New New New New New New New"/>
    <w:basedOn w:val="1"/>
    <w:qFormat/>
    <w:uiPriority w:val="0"/>
    <w:pPr>
      <w:tabs>
        <w:tab w:val="center" w:pos="4153"/>
        <w:tab w:val="right" w:pos="8306"/>
      </w:tabs>
      <w:snapToGrid w:val="0"/>
      <w:jc w:val="left"/>
    </w:pPr>
    <w:rPr>
      <w:sz w:val="18"/>
    </w:rPr>
  </w:style>
  <w:style w:type="paragraph" w:customStyle="1" w:styleId="63">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65">
    <w:name w:val="p0"/>
    <w:basedOn w:val="1"/>
    <w:qFormat/>
    <w:uiPriority w:val="0"/>
    <w:pPr>
      <w:widowControl/>
    </w:pPr>
    <w:rPr>
      <w:rFonts w:eastAsia="宋体"/>
      <w:kern w:val="0"/>
      <w:szCs w:val="32"/>
    </w:rPr>
  </w:style>
  <w:style w:type="paragraph" w:customStyle="1" w:styleId="66">
    <w:name w:val="页脚 New New New New New New"/>
    <w:basedOn w:val="1"/>
    <w:qFormat/>
    <w:uiPriority w:val="0"/>
    <w:pPr>
      <w:tabs>
        <w:tab w:val="center" w:pos="4153"/>
        <w:tab w:val="right" w:pos="8306"/>
      </w:tabs>
      <w:snapToGrid w:val="0"/>
      <w:jc w:val="left"/>
    </w:pPr>
    <w:rPr>
      <w:sz w:val="18"/>
    </w:rPr>
  </w:style>
  <w:style w:type="paragraph" w:customStyle="1" w:styleId="6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w:basedOn w:val="1"/>
    <w:qFormat/>
    <w:uiPriority w:val="0"/>
    <w:pPr>
      <w:tabs>
        <w:tab w:val="center" w:pos="4153"/>
        <w:tab w:val="right" w:pos="8306"/>
      </w:tabs>
      <w:snapToGrid w:val="0"/>
      <w:jc w:val="left"/>
    </w:pPr>
    <w:rPr>
      <w:sz w:val="18"/>
    </w:rPr>
  </w:style>
  <w:style w:type="paragraph" w:customStyle="1" w:styleId="69">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1">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qFormat/>
    <w:uiPriority w:val="0"/>
    <w:pPr>
      <w:tabs>
        <w:tab w:val="center" w:pos="4153"/>
        <w:tab w:val="right" w:pos="8306"/>
      </w:tabs>
      <w:snapToGrid w:val="0"/>
      <w:jc w:val="left"/>
    </w:pPr>
    <w:rPr>
      <w:sz w:val="18"/>
    </w:rPr>
  </w:style>
  <w:style w:type="paragraph" w:customStyle="1" w:styleId="74">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7">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qFormat/>
    <w:uiPriority w:val="0"/>
    <w:pPr>
      <w:tabs>
        <w:tab w:val="center" w:pos="4153"/>
        <w:tab w:val="right" w:pos="8306"/>
      </w:tabs>
      <w:snapToGrid w:val="0"/>
      <w:jc w:val="left"/>
    </w:pPr>
    <w:rPr>
      <w:sz w:val="18"/>
    </w:rPr>
  </w:style>
  <w:style w:type="paragraph" w:customStyle="1" w:styleId="79">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0">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2998</Words>
  <Characters>3428</Characters>
  <Lines>79</Lines>
  <Paragraphs>22</Paragraphs>
  <TotalTime>1</TotalTime>
  <ScaleCrop>false</ScaleCrop>
  <LinksUpToDate>false</LinksUpToDate>
  <CharactersWithSpaces>3558</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2022-05-05T09:15:00Z</dcterms:created>
  <dc:creator>Administrator</dc:creator>
  <cp:lastModifiedBy>Administrator</cp:lastModifiedBy>
  <cp:lastPrinted>2022-02-21T16:08:00Z</cp:lastPrinted>
  <dcterms:modified xsi:type="dcterms:W3CDTF">2022-09-13T08:40:49Z</dcterms:modified>
  <dc:title>主  持  词</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09AC9708222E4AC4B08C9161A6E2188A</vt:lpwstr>
  </property>
</Properties>
</file>